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1DA1" w:rsidRPr="00A41DA1" w:rsidRDefault="00A41DA1" w:rsidP="00A41DA1">
      <w:pPr>
        <w:spacing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Лекци</w:t>
      </w:r>
      <w:r w:rsidR="00002A41">
        <w:rPr>
          <w:rFonts w:ascii="Times New Roman" w:hAnsi="Times New Roman" w:cs="Times New Roman"/>
          <w:sz w:val="24"/>
          <w:szCs w:val="24"/>
        </w:rPr>
        <w:t>и</w:t>
      </w:r>
      <w:r w:rsidRPr="00A41DA1">
        <w:rPr>
          <w:rFonts w:ascii="Times New Roman" w:hAnsi="Times New Roman" w:cs="Times New Roman"/>
          <w:sz w:val="24"/>
          <w:szCs w:val="24"/>
        </w:rPr>
        <w:t xml:space="preserve"> №</w:t>
      </w:r>
      <w:r w:rsidR="00002A41">
        <w:rPr>
          <w:rFonts w:ascii="Times New Roman" w:hAnsi="Times New Roman" w:cs="Times New Roman"/>
          <w:sz w:val="24"/>
          <w:szCs w:val="24"/>
        </w:rPr>
        <w:t>8-9</w:t>
      </w:r>
      <w:bookmarkStart w:id="0" w:name="_GoBack"/>
      <w:bookmarkEnd w:id="0"/>
      <w:r w:rsidRPr="00A41DA1">
        <w:rPr>
          <w:rFonts w:ascii="Times New Roman" w:hAnsi="Times New Roman" w:cs="Times New Roman"/>
          <w:sz w:val="24"/>
          <w:szCs w:val="24"/>
        </w:rPr>
        <w:t xml:space="preserve"> АРКИ</w:t>
      </w:r>
    </w:p>
    <w:p w:rsidR="00A41DA1" w:rsidRPr="00A41DA1" w:rsidRDefault="00A41DA1" w:rsidP="00A41DA1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b/>
          <w:i/>
          <w:sz w:val="24"/>
          <w:szCs w:val="24"/>
        </w:rPr>
        <w:t>Арки</w:t>
      </w:r>
      <w:r w:rsidRPr="00A41DA1">
        <w:rPr>
          <w:rFonts w:ascii="Times New Roman" w:hAnsi="Times New Roman" w:cs="Times New Roman"/>
          <w:sz w:val="24"/>
          <w:szCs w:val="24"/>
        </w:rPr>
        <w:t xml:space="preserve"> – системы, состоящие из криволинейных элементов, горизонтальное смещение опор которых ограничено. Это приводит к возникновению распора, обеспечивающего работу арки на сжатие.</w:t>
      </w:r>
    </w:p>
    <w:p w:rsidR="00A41DA1" w:rsidRPr="00A41DA1" w:rsidRDefault="00A41DA1" w:rsidP="00A41DA1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Применяется в ОПЗ при L≥30 м.</w:t>
      </w:r>
    </w:p>
    <w:p w:rsidR="00A41DA1" w:rsidRPr="00A41DA1" w:rsidRDefault="00A41DA1" w:rsidP="00A41DA1">
      <w:pPr>
        <w:spacing w:line="36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41DA1">
        <w:rPr>
          <w:rFonts w:ascii="Times New Roman" w:hAnsi="Times New Roman" w:cs="Times New Roman"/>
          <w:i/>
          <w:sz w:val="24"/>
          <w:szCs w:val="24"/>
        </w:rPr>
        <w:t>Классификация:</w:t>
      </w:r>
    </w:p>
    <w:p w:rsidR="00A41DA1" w:rsidRPr="00A41DA1" w:rsidRDefault="00A41DA1" w:rsidP="00A41DA1">
      <w:pPr>
        <w:spacing w:line="36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  <w:sectPr w:rsidR="00A41DA1" w:rsidRPr="00A41DA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41DA1" w:rsidRPr="00A41DA1" w:rsidRDefault="00A41DA1" w:rsidP="00A41DA1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 xml:space="preserve">1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Трехшарнирные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>;</w:t>
      </w:r>
    </w:p>
    <w:p w:rsidR="00A41DA1" w:rsidRPr="00A41DA1" w:rsidRDefault="00A41DA1" w:rsidP="00A41DA1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 xml:space="preserve">2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Двухшарнирные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>;</w:t>
      </w:r>
    </w:p>
    <w:p w:rsidR="00A41DA1" w:rsidRDefault="00A41DA1" w:rsidP="00A41DA1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 xml:space="preserve">3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Бесшарнирные</w:t>
      </w:r>
      <w:proofErr w:type="spellEnd"/>
    </w:p>
    <w:p w:rsidR="00A41DA1" w:rsidRDefault="00A41DA1" w:rsidP="00A41DA1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41DA1" w:rsidRPr="00A41DA1" w:rsidRDefault="00A41DA1" w:rsidP="00A41DA1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1 Сборные</w:t>
      </w:r>
    </w:p>
    <w:p w:rsidR="00A41DA1" w:rsidRPr="00A41DA1" w:rsidRDefault="00A41DA1" w:rsidP="00A41DA1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2 Монолитные</w:t>
      </w:r>
    </w:p>
    <w:p w:rsidR="00A41DA1" w:rsidRPr="00A41DA1" w:rsidRDefault="00A41DA1" w:rsidP="00A41DA1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  <w:sectPr w:rsidR="00A41DA1" w:rsidRPr="00A41DA1" w:rsidSect="00BA1F81">
          <w:type w:val="continuous"/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:rsidR="00A41DA1" w:rsidRPr="00A41DA1" w:rsidRDefault="00A41DA1" w:rsidP="00A41DA1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Бесшарнирные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 xml:space="preserve"> арки применяются в случае малых смещений опор.</w:t>
      </w:r>
    </w:p>
    <w:p w:rsidR="00A41DA1" w:rsidRPr="00A41DA1" w:rsidRDefault="00A41DA1" w:rsidP="00A41DA1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трехшарнирных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 xml:space="preserve">   арках смещение опор почти не сказывается на усилиях. Применяют при больших пролетах.</w:t>
      </w:r>
    </w:p>
    <w:p w:rsidR="00A41DA1" w:rsidRPr="00A41DA1" w:rsidRDefault="00A41DA1" w:rsidP="00A41DA1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41DA1">
        <w:rPr>
          <w:rFonts w:ascii="Times New Roman" w:hAnsi="Times New Roman" w:cs="Times New Roman"/>
          <w:sz w:val="24"/>
          <w:szCs w:val="24"/>
        </w:rPr>
        <w:t>Двухшарнирные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 xml:space="preserve"> мало чувствительны к вертикальным осадкам и чувствительны </w:t>
      </w:r>
      <w:proofErr w:type="gramStart"/>
      <w:r w:rsidRPr="00A41DA1">
        <w:rPr>
          <w:rFonts w:ascii="Times New Roman" w:hAnsi="Times New Roman" w:cs="Times New Roman"/>
          <w:sz w:val="24"/>
          <w:szCs w:val="24"/>
        </w:rPr>
        <w:t>к  горизонтальным</w:t>
      </w:r>
      <w:proofErr w:type="gramEnd"/>
      <w:r w:rsidRPr="00A41DA1">
        <w:rPr>
          <w:rFonts w:ascii="Times New Roman" w:hAnsi="Times New Roman" w:cs="Times New Roman"/>
          <w:sz w:val="24"/>
          <w:szCs w:val="24"/>
        </w:rPr>
        <w:t xml:space="preserve"> смещениям. </w:t>
      </w:r>
    </w:p>
    <w:p w:rsidR="00A41DA1" w:rsidRPr="00A41DA1" w:rsidRDefault="00A41DA1" w:rsidP="00A41DA1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  <w:u w:val="single"/>
        </w:rPr>
        <w:t>Распор</w:t>
      </w:r>
      <w:r w:rsidRPr="00A41DA1">
        <w:rPr>
          <w:rFonts w:ascii="Times New Roman" w:hAnsi="Times New Roman" w:cs="Times New Roman"/>
          <w:sz w:val="24"/>
          <w:szCs w:val="24"/>
        </w:rPr>
        <w:t xml:space="preserve"> арки может восприниматься:</w:t>
      </w:r>
    </w:p>
    <w:p w:rsidR="00A41DA1" w:rsidRPr="00A41DA1" w:rsidRDefault="00A41DA1" w:rsidP="00A41DA1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1 Затяжкой;</w:t>
      </w:r>
    </w:p>
    <w:p w:rsidR="00A41DA1" w:rsidRPr="00A41DA1" w:rsidRDefault="00A41DA1" w:rsidP="00A41DA1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2 Жесткими боковыми рамами;</w:t>
      </w:r>
    </w:p>
    <w:p w:rsidR="00A41DA1" w:rsidRPr="00A41DA1" w:rsidRDefault="00A41DA1" w:rsidP="00A41DA1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3 Фундаментами.</w:t>
      </w:r>
    </w:p>
    <w:p w:rsidR="00A41DA1" w:rsidRPr="00A41DA1" w:rsidRDefault="00A41DA1" w:rsidP="00A41DA1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Наиболее оптимальное очертание арки соответствует кривой давления. В этом случае изгибающие моменты минимальны. Реально полно совпадение оси арки с кривой давления получить не удается из-за:</w:t>
      </w:r>
    </w:p>
    <w:p w:rsidR="00A41DA1" w:rsidRPr="00A41DA1" w:rsidRDefault="00A41DA1" w:rsidP="00A41DA1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 xml:space="preserve">- различных схем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загружения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 xml:space="preserve"> временной нагрузкой (одностороннее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нагружение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>);</w:t>
      </w:r>
    </w:p>
    <w:p w:rsidR="00A41DA1" w:rsidRPr="00A41DA1" w:rsidRDefault="00A41DA1" w:rsidP="00A41DA1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- влияния усадки и ползучести (особенно в большепролетных арках).Для упрощения конструкции и ее типизации применяют очертание оси по окружности.</w:t>
      </w:r>
      <w:r w:rsidRPr="00A41DA1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>
            <wp:extent cx="5934075" cy="3867150"/>
            <wp:effectExtent l="19050" t="0" r="9525" b="0"/>
            <wp:docPr id="5422" name="Рисунок 54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2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867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1DA1" w:rsidRPr="00A41DA1" w:rsidRDefault="00A41DA1" w:rsidP="00A41DA1">
      <w:pPr>
        <w:spacing w:after="12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lastRenderedPageBreak/>
        <w:t xml:space="preserve">В ОПЗ широкое применение находят сборные пологие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двухшарнирные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 xml:space="preserve"> арки с затяжкой.</w:t>
      </w:r>
    </w:p>
    <w:p w:rsidR="00A41DA1" w:rsidRPr="00A41DA1" w:rsidRDefault="00A41DA1" w:rsidP="00A41DA1">
      <w:pPr>
        <w:spacing w:after="120" w:line="36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41DA1">
        <w:rPr>
          <w:rFonts w:ascii="Times New Roman" w:hAnsi="Times New Roman" w:cs="Times New Roman"/>
          <w:i/>
          <w:sz w:val="24"/>
          <w:szCs w:val="24"/>
        </w:rPr>
        <w:t>Геометрические характеристики арки:</w:t>
      </w:r>
    </w:p>
    <w:p w:rsidR="00A41DA1" w:rsidRPr="00A41DA1" w:rsidRDefault="00A41DA1" w:rsidP="00A41DA1">
      <w:pPr>
        <w:spacing w:after="12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 xml:space="preserve">1 Стрела подъема </w:t>
      </w:r>
      <w:r w:rsidRPr="00A41DA1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A41DA1">
        <w:rPr>
          <w:rFonts w:ascii="Times New Roman" w:hAnsi="Times New Roman" w:cs="Times New Roman"/>
          <w:sz w:val="24"/>
          <w:szCs w:val="24"/>
        </w:rPr>
        <w:t>=(1/6</w:t>
      </w:r>
      <w:r w:rsidRPr="00A41DA1">
        <w:rPr>
          <w:rFonts w:ascii="Times New Roman" w:hAnsi="Times New Roman" w:cs="Times New Roman"/>
          <w:sz w:val="24"/>
          <w:szCs w:val="24"/>
        </w:rPr>
        <w:sym w:font="Symbol" w:char="F0B8"/>
      </w:r>
      <w:r w:rsidRPr="00A41DA1">
        <w:rPr>
          <w:rFonts w:ascii="Times New Roman" w:hAnsi="Times New Roman" w:cs="Times New Roman"/>
          <w:sz w:val="24"/>
          <w:szCs w:val="24"/>
        </w:rPr>
        <w:t>1/8)</w:t>
      </w:r>
      <w:r w:rsidRPr="00A41DA1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A41DA1">
        <w:rPr>
          <w:rFonts w:ascii="Times New Roman" w:hAnsi="Times New Roman" w:cs="Times New Roman"/>
          <w:sz w:val="24"/>
          <w:szCs w:val="24"/>
        </w:rPr>
        <w:t>;</w:t>
      </w:r>
    </w:p>
    <w:p w:rsidR="00A41DA1" w:rsidRPr="00A41DA1" w:rsidRDefault="00A41DA1" w:rsidP="00A41DA1">
      <w:pPr>
        <w:spacing w:after="12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 xml:space="preserve">2 Сечение: прямоугольное или двутавровое с </w:t>
      </w:r>
      <w:r w:rsidRPr="00A41DA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A41DA1">
        <w:rPr>
          <w:rFonts w:ascii="Times New Roman" w:hAnsi="Times New Roman" w:cs="Times New Roman"/>
          <w:sz w:val="24"/>
          <w:szCs w:val="24"/>
        </w:rPr>
        <w:t>=(1/30</w:t>
      </w:r>
      <w:r w:rsidRPr="00A41DA1">
        <w:rPr>
          <w:rFonts w:ascii="Times New Roman" w:hAnsi="Times New Roman" w:cs="Times New Roman"/>
          <w:sz w:val="24"/>
          <w:szCs w:val="24"/>
          <w:lang w:val="en-US"/>
        </w:rPr>
        <w:sym w:font="Symbol" w:char="F0B8"/>
      </w:r>
      <w:r w:rsidRPr="00A41DA1">
        <w:rPr>
          <w:rFonts w:ascii="Times New Roman" w:hAnsi="Times New Roman" w:cs="Times New Roman"/>
          <w:sz w:val="24"/>
          <w:szCs w:val="24"/>
        </w:rPr>
        <w:t>1/50)</w:t>
      </w:r>
      <w:r w:rsidRPr="00A41DA1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A41DA1">
        <w:rPr>
          <w:rFonts w:ascii="Times New Roman" w:hAnsi="Times New Roman" w:cs="Times New Roman"/>
          <w:sz w:val="24"/>
          <w:szCs w:val="24"/>
        </w:rPr>
        <w:t xml:space="preserve">, </w:t>
      </w:r>
      <w:r w:rsidRPr="00A41DA1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A41DA1">
        <w:rPr>
          <w:rFonts w:ascii="Times New Roman" w:hAnsi="Times New Roman" w:cs="Times New Roman"/>
          <w:sz w:val="24"/>
          <w:szCs w:val="24"/>
        </w:rPr>
        <w:t>=(0.4</w:t>
      </w:r>
      <w:r w:rsidRPr="00A41DA1">
        <w:rPr>
          <w:rFonts w:ascii="Times New Roman" w:hAnsi="Times New Roman" w:cs="Times New Roman"/>
          <w:sz w:val="24"/>
          <w:szCs w:val="24"/>
        </w:rPr>
        <w:sym w:font="Symbol" w:char="F0B8"/>
      </w:r>
      <w:r w:rsidRPr="00A41DA1">
        <w:rPr>
          <w:rFonts w:ascii="Times New Roman" w:hAnsi="Times New Roman" w:cs="Times New Roman"/>
          <w:sz w:val="24"/>
          <w:szCs w:val="24"/>
        </w:rPr>
        <w:t>0.5)</w:t>
      </w:r>
      <w:r w:rsidRPr="00A41DA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A41DA1">
        <w:rPr>
          <w:rFonts w:ascii="Times New Roman" w:hAnsi="Times New Roman" w:cs="Times New Roman"/>
          <w:sz w:val="24"/>
          <w:szCs w:val="24"/>
        </w:rPr>
        <w:t>.</w:t>
      </w:r>
    </w:p>
    <w:p w:rsidR="00A41DA1" w:rsidRPr="00A41DA1" w:rsidRDefault="00A41DA1" w:rsidP="00A41DA1">
      <w:pPr>
        <w:spacing w:after="120" w:line="36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41DA1">
        <w:rPr>
          <w:rFonts w:ascii="Times New Roman" w:hAnsi="Times New Roman" w:cs="Times New Roman"/>
          <w:i/>
          <w:sz w:val="24"/>
          <w:szCs w:val="24"/>
        </w:rPr>
        <w:t>Конструкция арки</w:t>
      </w:r>
    </w:p>
    <w:p w:rsidR="00A41DA1" w:rsidRPr="00A41DA1" w:rsidRDefault="00A41DA1" w:rsidP="00A41DA1">
      <w:pPr>
        <w:spacing w:after="12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 xml:space="preserve">1 Арки состоят из блоков </w:t>
      </w:r>
      <w:r w:rsidRPr="00A41DA1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A41DA1">
        <w:rPr>
          <w:rFonts w:ascii="Times New Roman" w:hAnsi="Times New Roman" w:cs="Times New Roman"/>
          <w:sz w:val="24"/>
          <w:szCs w:val="24"/>
        </w:rPr>
        <w:t xml:space="preserve">=6м, соединенных ванной сваркой выпусков продольной арматуры с последующим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замоноличиванием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 xml:space="preserve"> стыков мелкозернистым бетоном.</w:t>
      </w:r>
    </w:p>
    <w:p w:rsidR="00A41DA1" w:rsidRPr="00A41DA1" w:rsidRDefault="00A41DA1" w:rsidP="00A41DA1">
      <w:pPr>
        <w:spacing w:after="12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2 Затяжку выполняют предварительно-напряженной в виде целого элемента с опорными блоками. Напрягаемая арматура К-7 и К-19. Для небольших арок затяжки могут быть стальными гибкими.</w:t>
      </w:r>
    </w:p>
    <w:p w:rsidR="00A41DA1" w:rsidRPr="00A41DA1" w:rsidRDefault="00A41DA1" w:rsidP="00A41DA1">
      <w:pPr>
        <w:spacing w:after="12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3 Для уменьшения провисания затяжек через 6 м устраивают подвески (железобетонные или стальные). К ним могут также крепится подвесные пути.</w:t>
      </w:r>
    </w:p>
    <w:p w:rsidR="00A41DA1" w:rsidRPr="00A41DA1" w:rsidRDefault="00A41DA1" w:rsidP="00A41DA1">
      <w:pPr>
        <w:spacing w:after="12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4 Для изготовления используют бетон классов В30</w:t>
      </w:r>
      <w:r w:rsidRPr="00A41DA1">
        <w:rPr>
          <w:rFonts w:ascii="Times New Roman" w:hAnsi="Times New Roman" w:cs="Times New Roman"/>
          <w:sz w:val="24"/>
          <w:szCs w:val="24"/>
        </w:rPr>
        <w:sym w:font="Symbol" w:char="F0B8"/>
      </w:r>
      <w:r w:rsidRPr="00A41DA1">
        <w:rPr>
          <w:rFonts w:ascii="Times New Roman" w:hAnsi="Times New Roman" w:cs="Times New Roman"/>
          <w:sz w:val="24"/>
          <w:szCs w:val="24"/>
        </w:rPr>
        <w:t>В50. Рабочая арматура – из стали класса А</w:t>
      </w:r>
      <w:r w:rsidRPr="00A41DA1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A41DA1">
        <w:rPr>
          <w:rFonts w:ascii="Times New Roman" w:hAnsi="Times New Roman" w:cs="Times New Roman"/>
          <w:sz w:val="24"/>
          <w:szCs w:val="24"/>
        </w:rPr>
        <w:t>. В качестве хомутов – арматура класса А</w:t>
      </w:r>
      <w:r w:rsidRPr="00A41DA1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A41D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Вр</w:t>
      </w:r>
      <w:proofErr w:type="spellEnd"/>
      <w:r w:rsidRPr="00A41DA1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A41DA1">
        <w:rPr>
          <w:rFonts w:ascii="Times New Roman" w:hAnsi="Times New Roman" w:cs="Times New Roman"/>
          <w:sz w:val="24"/>
          <w:szCs w:val="24"/>
        </w:rPr>
        <w:t>.</w:t>
      </w:r>
    </w:p>
    <w:p w:rsidR="00A41DA1" w:rsidRPr="00A41DA1" w:rsidRDefault="00A41DA1" w:rsidP="00A41DA1">
      <w:pPr>
        <w:spacing w:after="120" w:line="36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41DA1">
        <w:rPr>
          <w:rFonts w:ascii="Times New Roman" w:hAnsi="Times New Roman" w:cs="Times New Roman"/>
          <w:i/>
          <w:sz w:val="24"/>
          <w:szCs w:val="24"/>
        </w:rPr>
        <w:t>Расчет арок</w:t>
      </w:r>
    </w:p>
    <w:p w:rsidR="00A41DA1" w:rsidRPr="00A41DA1" w:rsidRDefault="00A41DA1" w:rsidP="00A41DA1">
      <w:pPr>
        <w:spacing w:after="12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1 Нагрузка: вес покрытия и арки, сплошная и односторонняя нагрузка от снега и сосредоточенная нагрузка от подвесного транспорта. Ветровая – для высоких арок.</w:t>
      </w:r>
    </w:p>
    <w:p w:rsidR="00A41DA1" w:rsidRPr="00A41DA1" w:rsidRDefault="00A41DA1" w:rsidP="00A41DA1">
      <w:pPr>
        <w:spacing w:after="12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 xml:space="preserve">2 Статический расчет производят методами строительной механики.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Двухшарнирная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 xml:space="preserve"> арка с затяжкой является статически неопределимой системой с 1 неизвестным. При ее расчете задаются сечениями арки и затяжки и определяют неизвестное усилие распора из уравнения метода сил.</w:t>
      </w:r>
    </w:p>
    <w:p w:rsidR="00A41DA1" w:rsidRPr="00A41DA1" w:rsidRDefault="00A41DA1" w:rsidP="00A41DA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lastRenderedPageBreak/>
        <w:drawing>
          <wp:inline distT="0" distB="0" distL="0" distR="0">
            <wp:extent cx="5419725" cy="2914650"/>
            <wp:effectExtent l="19050" t="0" r="9525" b="0"/>
            <wp:docPr id="5423" name="Рисунок 5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2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2914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1DA1" w:rsidRPr="00A41DA1" w:rsidRDefault="00A41DA1" w:rsidP="00A41DA1">
      <w:pPr>
        <w:spacing w:after="12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При очертании арки по дуге окружности или квадратной параболе и равномерно распределенной нагрузке:</w:t>
      </w:r>
    </w:p>
    <w:p w:rsidR="00A41DA1" w:rsidRPr="00A41DA1" w:rsidRDefault="00A41DA1" w:rsidP="00A41DA1">
      <w:pPr>
        <w:spacing w:after="12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position w:val="-32"/>
          <w:sz w:val="24"/>
          <w:szCs w:val="24"/>
        </w:rPr>
        <w:object w:dxaOrig="166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3.55pt;height:39.1pt" o:ole="">
            <v:imagedata r:id="rId7" o:title=""/>
          </v:shape>
          <o:OLEObject Type="Embed" ProgID="Equation.3" ShapeID="_x0000_i1025" DrawAspect="Content" ObjectID="_1640557914" r:id="rId8"/>
        </w:object>
      </w:r>
      <w:r w:rsidRPr="00A41DA1">
        <w:rPr>
          <w:rFonts w:ascii="Times New Roman" w:hAnsi="Times New Roman" w:cs="Times New Roman"/>
          <w:sz w:val="24"/>
          <w:szCs w:val="24"/>
        </w:rPr>
        <w:t>,</w:t>
      </w:r>
    </w:p>
    <w:p w:rsidR="00A41DA1" w:rsidRPr="00A41DA1" w:rsidRDefault="00A41DA1" w:rsidP="00A41DA1">
      <w:pPr>
        <w:spacing w:after="12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где 0,9 – коэффициент, учитывающий упругую податливость затяжки.</w:t>
      </w:r>
    </w:p>
    <w:p w:rsidR="00A41DA1" w:rsidRPr="00A41DA1" w:rsidRDefault="00A41DA1" w:rsidP="00A41DA1">
      <w:pPr>
        <w:spacing w:after="12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По распору Н в нескольких сечениях арки определяют усилия:</w:t>
      </w:r>
    </w:p>
    <w:p w:rsidR="00A41DA1" w:rsidRPr="00A41DA1" w:rsidRDefault="00A41DA1" w:rsidP="00A41DA1">
      <w:pPr>
        <w:spacing w:after="12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position w:val="-12"/>
          <w:sz w:val="24"/>
          <w:szCs w:val="24"/>
        </w:rPr>
        <w:object w:dxaOrig="2000" w:dyaOrig="380">
          <v:shape id="_x0000_i1026" type="#_x0000_t75" style="width:99.55pt;height:18.65pt" o:ole="">
            <v:imagedata r:id="rId9" o:title=""/>
          </v:shape>
          <o:OLEObject Type="Embed" ProgID="Equation.3" ShapeID="_x0000_i1026" DrawAspect="Content" ObjectID="_1640557915" r:id="rId10"/>
        </w:object>
      </w:r>
    </w:p>
    <w:p w:rsidR="00A41DA1" w:rsidRPr="00A41DA1" w:rsidRDefault="00A41DA1" w:rsidP="00A41DA1">
      <w:pPr>
        <w:spacing w:after="12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position w:val="-12"/>
          <w:sz w:val="24"/>
          <w:szCs w:val="24"/>
        </w:rPr>
        <w:object w:dxaOrig="2640" w:dyaOrig="360">
          <v:shape id="_x0000_i1027" type="#_x0000_t75" style="width:132.45pt;height:17.8pt" o:ole="">
            <v:imagedata r:id="rId11" o:title=""/>
          </v:shape>
          <o:OLEObject Type="Embed" ProgID="Equation.3" ShapeID="_x0000_i1027" DrawAspect="Content" ObjectID="_1640557916" r:id="rId12"/>
        </w:object>
      </w:r>
    </w:p>
    <w:p w:rsidR="00A41DA1" w:rsidRPr="00A41DA1" w:rsidRDefault="00A41DA1" w:rsidP="00A41DA1">
      <w:pPr>
        <w:spacing w:after="12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position w:val="-12"/>
          <w:sz w:val="24"/>
          <w:szCs w:val="24"/>
        </w:rPr>
        <w:object w:dxaOrig="2520" w:dyaOrig="360">
          <v:shape id="_x0000_i1028" type="#_x0000_t75" style="width:126.2pt;height:17.8pt" o:ole="">
            <v:imagedata r:id="rId13" o:title=""/>
          </v:shape>
          <o:OLEObject Type="Embed" ProgID="Equation.3" ShapeID="_x0000_i1028" DrawAspect="Content" ObjectID="_1640557917" r:id="rId14"/>
        </w:object>
      </w:r>
      <w:r w:rsidRPr="00A41DA1">
        <w:rPr>
          <w:rFonts w:ascii="Times New Roman" w:hAnsi="Times New Roman" w:cs="Times New Roman"/>
          <w:sz w:val="24"/>
          <w:szCs w:val="24"/>
        </w:rPr>
        <w:t>,</w:t>
      </w:r>
    </w:p>
    <w:p w:rsidR="00A41DA1" w:rsidRPr="00A41DA1" w:rsidRDefault="00A41DA1" w:rsidP="00A41DA1">
      <w:pPr>
        <w:spacing w:after="12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 xml:space="preserve">где: </w:t>
      </w:r>
      <w:proofErr w:type="spellStart"/>
      <w:r w:rsidRPr="00A41DA1"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A41DA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x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41DA1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A41DA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x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 xml:space="preserve"> – усилия в том же сечении простой балки;</w:t>
      </w:r>
    </w:p>
    <w:p w:rsidR="00A41DA1" w:rsidRPr="00A41DA1" w:rsidRDefault="00A41DA1" w:rsidP="00A41DA1">
      <w:pPr>
        <w:spacing w:after="12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sym w:font="Symbol" w:char="F06A"/>
      </w:r>
      <w:r w:rsidRPr="00A41DA1">
        <w:rPr>
          <w:rFonts w:ascii="Times New Roman" w:hAnsi="Times New Roman" w:cs="Times New Roman"/>
          <w:sz w:val="24"/>
          <w:szCs w:val="24"/>
        </w:rPr>
        <w:t xml:space="preserve"> - угол между касательной к оси балки в рассматриваемом сечении и горизонтальной.</w:t>
      </w:r>
    </w:p>
    <w:p w:rsidR="00A41DA1" w:rsidRPr="00A41DA1" w:rsidRDefault="00A41DA1" w:rsidP="00A41DA1">
      <w:pPr>
        <w:spacing w:after="12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При расчете сечений принимают максимальные усилия от наиболее неблагоприятных сочетаний нагрузок.</w:t>
      </w:r>
    </w:p>
    <w:p w:rsidR="00A41DA1" w:rsidRPr="00A41DA1" w:rsidRDefault="00A41DA1" w:rsidP="00A41DA1">
      <w:pPr>
        <w:spacing w:after="12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3 Расчет сечений</w:t>
      </w:r>
    </w:p>
    <w:p w:rsidR="00A41DA1" w:rsidRPr="00A41DA1" w:rsidRDefault="00A41DA1" w:rsidP="00A41DA1">
      <w:pPr>
        <w:spacing w:after="12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t>Подбор продольной арматуры в арке проводят из расчета на устойчивость как внецентренно сжатого элемента с расчетной длиной: 0.54·</w:t>
      </w:r>
      <w:r w:rsidRPr="00A41DA1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A41DA1">
        <w:rPr>
          <w:rFonts w:ascii="Times New Roman" w:hAnsi="Times New Roman" w:cs="Times New Roman"/>
          <w:sz w:val="24"/>
          <w:szCs w:val="24"/>
        </w:rPr>
        <w:t xml:space="preserve"> – для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двухшарнирной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 xml:space="preserve"> арки; 0.58·</w:t>
      </w:r>
      <w:r w:rsidRPr="00A41DA1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A41DA1">
        <w:rPr>
          <w:rFonts w:ascii="Times New Roman" w:hAnsi="Times New Roman" w:cs="Times New Roman"/>
          <w:sz w:val="24"/>
          <w:szCs w:val="24"/>
        </w:rPr>
        <w:t xml:space="preserve"> – для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трехшарнирной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 xml:space="preserve"> арки;  0.36·</w:t>
      </w:r>
      <w:r w:rsidRPr="00A41DA1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A41DA1">
        <w:rPr>
          <w:rFonts w:ascii="Times New Roman" w:hAnsi="Times New Roman" w:cs="Times New Roman"/>
          <w:sz w:val="24"/>
          <w:szCs w:val="24"/>
        </w:rPr>
        <w:t xml:space="preserve"> – для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бесшарнирной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 xml:space="preserve"> арки, где </w:t>
      </w:r>
      <w:r w:rsidRPr="00A41DA1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A41DA1">
        <w:rPr>
          <w:rFonts w:ascii="Times New Roman" w:hAnsi="Times New Roman" w:cs="Times New Roman"/>
          <w:sz w:val="24"/>
          <w:szCs w:val="24"/>
        </w:rPr>
        <w:t xml:space="preserve"> – длина ее дуги.</w:t>
      </w:r>
    </w:p>
    <w:p w:rsidR="00A41DA1" w:rsidRPr="00A41DA1" w:rsidRDefault="00A41DA1" w:rsidP="00A41DA1">
      <w:pPr>
        <w:spacing w:after="12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41DA1">
        <w:rPr>
          <w:rFonts w:ascii="Times New Roman" w:hAnsi="Times New Roman" w:cs="Times New Roman"/>
          <w:sz w:val="24"/>
          <w:szCs w:val="24"/>
        </w:rPr>
        <w:lastRenderedPageBreak/>
        <w:t xml:space="preserve">Площадь сечения арматуры затяжки подбирают как для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центральнорастянутого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 xml:space="preserve"> элемента по прочности и </w:t>
      </w:r>
      <w:proofErr w:type="spellStart"/>
      <w:r w:rsidRPr="00A41DA1">
        <w:rPr>
          <w:rFonts w:ascii="Times New Roman" w:hAnsi="Times New Roman" w:cs="Times New Roman"/>
          <w:sz w:val="24"/>
          <w:szCs w:val="24"/>
        </w:rPr>
        <w:t>трещиностойкости</w:t>
      </w:r>
      <w:proofErr w:type="spellEnd"/>
      <w:r w:rsidRPr="00A41DA1">
        <w:rPr>
          <w:rFonts w:ascii="Times New Roman" w:hAnsi="Times New Roman" w:cs="Times New Roman"/>
          <w:sz w:val="24"/>
          <w:szCs w:val="24"/>
        </w:rPr>
        <w:t>.</w:t>
      </w:r>
    </w:p>
    <w:sectPr w:rsidR="00A41DA1" w:rsidRPr="00A41DA1" w:rsidSect="00C61E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2449B0"/>
    <w:multiLevelType w:val="hybridMultilevel"/>
    <w:tmpl w:val="4C0854D2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B043C2A"/>
    <w:multiLevelType w:val="hybridMultilevel"/>
    <w:tmpl w:val="E250AD7A"/>
    <w:lvl w:ilvl="0" w:tplc="304C29C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139F613F"/>
    <w:multiLevelType w:val="hybridMultilevel"/>
    <w:tmpl w:val="D8E44C5E"/>
    <w:lvl w:ilvl="0" w:tplc="11263D8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26F77A4F"/>
    <w:multiLevelType w:val="hybridMultilevel"/>
    <w:tmpl w:val="6DAE09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586283"/>
    <w:multiLevelType w:val="hybridMultilevel"/>
    <w:tmpl w:val="181899B2"/>
    <w:lvl w:ilvl="0" w:tplc="A14AFB3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41BB5657"/>
    <w:multiLevelType w:val="hybridMultilevel"/>
    <w:tmpl w:val="2A428354"/>
    <w:lvl w:ilvl="0" w:tplc="815C415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44577510"/>
    <w:multiLevelType w:val="multilevel"/>
    <w:tmpl w:val="754EC5C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519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6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4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2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749" w:hanging="2160"/>
      </w:pPr>
      <w:rPr>
        <w:rFonts w:hint="default"/>
      </w:rPr>
    </w:lvl>
  </w:abstractNum>
  <w:abstractNum w:abstractNumId="7" w15:restartNumberingAfterBreak="0">
    <w:nsid w:val="49DE0C8F"/>
    <w:multiLevelType w:val="hybridMultilevel"/>
    <w:tmpl w:val="CBFC1202"/>
    <w:lvl w:ilvl="0" w:tplc="C06C68D2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8" w15:restartNumberingAfterBreak="0">
    <w:nsid w:val="4BCD36E1"/>
    <w:multiLevelType w:val="hybridMultilevel"/>
    <w:tmpl w:val="93025E22"/>
    <w:lvl w:ilvl="0" w:tplc="1BC233E0">
      <w:start w:val="1"/>
      <w:numFmt w:val="upperRoman"/>
      <w:lvlText w:val="%1."/>
      <w:lvlJc w:val="left"/>
      <w:pPr>
        <w:ind w:left="178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51573BD8"/>
    <w:multiLevelType w:val="hybridMultilevel"/>
    <w:tmpl w:val="1A103B9C"/>
    <w:lvl w:ilvl="0" w:tplc="021C3F20">
      <w:start w:val="1"/>
      <w:numFmt w:val="bullet"/>
      <w:lvlText w:val=""/>
      <w:lvlJc w:val="left"/>
      <w:pPr>
        <w:tabs>
          <w:tab w:val="num" w:pos="1193"/>
        </w:tabs>
        <w:ind w:left="1364" w:hanging="22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21007C0"/>
    <w:multiLevelType w:val="hybridMultilevel"/>
    <w:tmpl w:val="20687FE8"/>
    <w:lvl w:ilvl="0" w:tplc="455A1706">
      <w:start w:val="1"/>
      <w:numFmt w:val="bullet"/>
      <w:lvlText w:val=""/>
      <w:lvlJc w:val="right"/>
      <w:pPr>
        <w:ind w:left="1429" w:hanging="360"/>
      </w:pPr>
      <w:rPr>
        <w:rFonts w:ascii="Symbol" w:hAnsi="Symbol" w:hint="default"/>
        <w:spacing w:val="0"/>
        <w:kern w:val="2"/>
        <w:position w:val="0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589B7B16"/>
    <w:multiLevelType w:val="hybridMultilevel"/>
    <w:tmpl w:val="192ABA12"/>
    <w:lvl w:ilvl="0" w:tplc="7DDA9008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2" w15:restartNumberingAfterBreak="0">
    <w:nsid w:val="5DB818AE"/>
    <w:multiLevelType w:val="hybridMultilevel"/>
    <w:tmpl w:val="CD7A3F30"/>
    <w:lvl w:ilvl="0" w:tplc="783AB5B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67E46731"/>
    <w:multiLevelType w:val="hybridMultilevel"/>
    <w:tmpl w:val="194266A0"/>
    <w:lvl w:ilvl="0" w:tplc="D42E801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4" w15:restartNumberingAfterBreak="0">
    <w:nsid w:val="727F464F"/>
    <w:multiLevelType w:val="hybridMultilevel"/>
    <w:tmpl w:val="298C4B4E"/>
    <w:lvl w:ilvl="0" w:tplc="1E667E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797B2C5E"/>
    <w:multiLevelType w:val="hybridMultilevel"/>
    <w:tmpl w:val="BA084D68"/>
    <w:lvl w:ilvl="0" w:tplc="66B0E62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4"/>
  </w:num>
  <w:num w:numId="2">
    <w:abstractNumId w:val="3"/>
  </w:num>
  <w:num w:numId="3">
    <w:abstractNumId w:val="15"/>
  </w:num>
  <w:num w:numId="4">
    <w:abstractNumId w:val="4"/>
  </w:num>
  <w:num w:numId="5">
    <w:abstractNumId w:val="0"/>
  </w:num>
  <w:num w:numId="6">
    <w:abstractNumId w:val="10"/>
  </w:num>
  <w:num w:numId="7">
    <w:abstractNumId w:val="1"/>
  </w:num>
  <w:num w:numId="8">
    <w:abstractNumId w:val="9"/>
  </w:num>
  <w:num w:numId="9">
    <w:abstractNumId w:val="2"/>
  </w:num>
  <w:num w:numId="10">
    <w:abstractNumId w:val="5"/>
  </w:num>
  <w:num w:numId="11">
    <w:abstractNumId w:val="12"/>
  </w:num>
  <w:num w:numId="12">
    <w:abstractNumId w:val="6"/>
  </w:num>
  <w:num w:numId="13">
    <w:abstractNumId w:val="8"/>
  </w:num>
  <w:num w:numId="14">
    <w:abstractNumId w:val="13"/>
  </w:num>
  <w:num w:numId="15">
    <w:abstractNumId w:val="7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41613"/>
    <w:rsid w:val="00002A41"/>
    <w:rsid w:val="0006751C"/>
    <w:rsid w:val="00197754"/>
    <w:rsid w:val="007A52F9"/>
    <w:rsid w:val="00A00418"/>
    <w:rsid w:val="00A41DA1"/>
    <w:rsid w:val="00C61E2A"/>
    <w:rsid w:val="00CD7105"/>
    <w:rsid w:val="00DF4962"/>
    <w:rsid w:val="00F41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6B73B7"/>
  <w15:docId w15:val="{4003ACD4-058F-4E8D-8DC1-79CBD2BF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52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52F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61E2A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a6">
    <w:name w:val="Table Grid"/>
    <w:basedOn w:val="a1"/>
    <w:uiPriority w:val="59"/>
    <w:rsid w:val="0019775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wmf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oleObject" Target="embeddings/oleObject3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wmf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5</Pages>
  <Words>492</Words>
  <Characters>2810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VChernavin</dc:creator>
  <cp:keywords/>
  <dc:description/>
  <cp:lastModifiedBy>User</cp:lastModifiedBy>
  <cp:revision>8</cp:revision>
  <dcterms:created xsi:type="dcterms:W3CDTF">2013-02-23T07:01:00Z</dcterms:created>
  <dcterms:modified xsi:type="dcterms:W3CDTF">2020-01-14T19:45:00Z</dcterms:modified>
</cp:coreProperties>
</file>